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23A3A" w14:textId="77777777" w:rsidR="008E4322" w:rsidRDefault="008E4322" w:rsidP="008E4322">
      <w:r>
        <w:rPr>
          <w:noProof/>
        </w:rPr>
        <w:drawing>
          <wp:inline distT="0" distB="0" distL="0" distR="0" wp14:anchorId="11A4ECA9" wp14:editId="68EE5EDE">
            <wp:extent cx="585216" cy="548640"/>
            <wp:effectExtent l="0" t="0" r="0" b="0"/>
            <wp:docPr id="16482536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25363" name="Picture 1" descr="A blue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5216" cy="548640"/>
                    </a:xfrm>
                    <a:prstGeom prst="rect">
                      <a:avLst/>
                    </a:prstGeom>
                  </pic:spPr>
                </pic:pic>
              </a:graphicData>
            </a:graphic>
          </wp:inline>
        </w:drawing>
      </w:r>
    </w:p>
    <w:p w14:paraId="08311C83" w14:textId="77777777" w:rsidR="008E4322" w:rsidRDefault="008E4322" w:rsidP="008E4322"/>
    <w:p w14:paraId="59A3D872" w14:textId="77777777" w:rsidR="008E4322" w:rsidRDefault="008E4322" w:rsidP="008E4322"/>
    <w:p w14:paraId="5BF5DA1C" w14:textId="5F1F94FF" w:rsidR="008E4322" w:rsidRDefault="008E4322" w:rsidP="008E4322">
      <w:pPr>
        <w:rPr>
          <w:rFonts w:cs="Calibri"/>
        </w:rPr>
      </w:pPr>
      <w:r>
        <w:t xml:space="preserve">REQUEST FOR PROPOSAL (RFP) </w:t>
      </w:r>
    </w:p>
    <w:p w14:paraId="01BD4F2C" w14:textId="77777777" w:rsidR="008E4322" w:rsidRDefault="008E4322" w:rsidP="008E4322">
      <w:r>
        <w:t>DATE:                   January 16, 2025</w:t>
      </w:r>
    </w:p>
    <w:p w14:paraId="56930D25" w14:textId="77777777" w:rsidR="008E4322" w:rsidRDefault="008E4322" w:rsidP="008E4322">
      <w:r>
        <w:t>SUBJECT:           Creative Forces Communications Refresh</w:t>
      </w:r>
    </w:p>
    <w:p w14:paraId="626C2D31" w14:textId="77777777" w:rsidR="008E4322" w:rsidRDefault="008E4322" w:rsidP="008E4322">
      <w:r>
        <w:t> </w:t>
      </w:r>
    </w:p>
    <w:p w14:paraId="6B0E9F18" w14:textId="77777777" w:rsidR="008E4322" w:rsidRDefault="008E4322" w:rsidP="008E4322">
      <w:r>
        <w:rPr>
          <w:b/>
          <w:bCs/>
        </w:rPr>
        <w:t>1.           Background:</w:t>
      </w:r>
    </w:p>
    <w:p w14:paraId="2AFA43F2" w14:textId="77777777" w:rsidR="008E4322" w:rsidRDefault="008E4322" w:rsidP="008E4322">
      <w:r>
        <w:t> </w:t>
      </w:r>
    </w:p>
    <w:p w14:paraId="5E0D67DD" w14:textId="77777777" w:rsidR="008E4322" w:rsidRDefault="008E4322" w:rsidP="008E4322">
      <w:r>
        <w:t xml:space="preserve">The Henry M. Jackson Foundation for the Advancement of Military Medicine, Inc (HJF) is a 501(c)(3) nonprofit organization dedicated to advancing military medicine. We serve military, medical, academic and government clients by administering, managing, and supporting preeminent scientific programs that benefit members of the armed forces and civilians alike.  Since its founding, HJF has served as a vital link between the military medical community and its federal and private partners. HJF's support and administrative capabilities allow military medical researchers and clinicians to maintain their scientific focus and accomplish their research goals.  Additional information on HJF may be found at </w:t>
      </w:r>
      <w:hyperlink r:id="rId6" w:history="1">
        <w:r>
          <w:rPr>
            <w:rStyle w:val="Hyperlink"/>
          </w:rPr>
          <w:t>www.hjf.org</w:t>
        </w:r>
      </w:hyperlink>
      <w:r>
        <w:t xml:space="preserve">. </w:t>
      </w:r>
    </w:p>
    <w:p w14:paraId="43567807" w14:textId="77777777" w:rsidR="008E4322" w:rsidRDefault="008E4322" w:rsidP="008E4322">
      <w:r>
        <w:t> </w:t>
      </w:r>
    </w:p>
    <w:p w14:paraId="67479036" w14:textId="77777777" w:rsidR="008E4322" w:rsidRDefault="008E4322" w:rsidP="008E4322">
      <w:r>
        <w:t xml:space="preserve">Creative Forces: NEA Military Healing Arts Network began in 2012 as an initiative of the National Endowment for the Arts in partnership with the U.S. Departments of Defense and Veterans Affairs and is managed in partnership with the Henry M. Jackson Foundation for the Advancement of Military Medicine and Mid-America Arts Alliance. Creative Forces seeks to improve health, well-being, and quality of life for military service members and veterans exposed to trauma, as well as their families and caregivers, by increasing knowledge of and access to clinical creative arts therapies and community arts engagement. Since 2017, Creative Forces has invested in community arts engagement projects to advance understanding of the benefits and impacts for military-connected populations who have been exposed to trauma. </w:t>
      </w:r>
    </w:p>
    <w:p w14:paraId="3F74687F" w14:textId="77777777" w:rsidR="008E4322" w:rsidRDefault="008E4322" w:rsidP="008E4322">
      <w:r>
        <w:t> </w:t>
      </w:r>
    </w:p>
    <w:p w14:paraId="6FD993CB" w14:textId="77777777" w:rsidR="008E4322" w:rsidRDefault="008E4322" w:rsidP="008E4322">
      <w:r>
        <w:rPr>
          <w:b/>
          <w:bCs/>
        </w:rPr>
        <w:t>2.           Requested Services/Statement of Work:</w:t>
      </w:r>
    </w:p>
    <w:p w14:paraId="0907D3C7" w14:textId="77777777" w:rsidR="008E4322" w:rsidRDefault="008E4322" w:rsidP="008E4322">
      <w:r>
        <w:rPr>
          <w:b/>
          <w:bCs/>
        </w:rPr>
        <w:t> </w:t>
      </w:r>
    </w:p>
    <w:p w14:paraId="0C542488" w14:textId="77777777" w:rsidR="008E4322" w:rsidRDefault="008E4322" w:rsidP="008E4322">
      <w:r>
        <w:t xml:space="preserve">The work to be completed under this request for proposals is to work with National Endowment for the Arts (NEA) and Henry M. Jackson Foundation for the Advancement of Military Medicine, Inc. (HJF) staff (hereafter, collectively referred to as “Creative Forces Leadership”) to review and update Creative Forces®: NEA Military Healing Arts Network (“Creative Forces”) communications materials to ensure they accurately reflect the program’s mission, goals, and current activities. While the Creative Forces Leadership Team will meet regularly with the selected vendor and coordinate activities, all work products and final deliverables must be specifically reviewed and approved by NEA’s Office of Public Affairs.  This effort includes a comprehensive review of the Creative Forces two-page information paper, program introductory video, PowerPoint presentation template, and three different clinical discipline-specific program brochures. The contractor will identify outdated information, content gaps, and inconsistencies across materials and will develop updated messaging and design resources to support consistent and clear communication regarding the Creative Forces initiative. </w:t>
      </w:r>
    </w:p>
    <w:p w14:paraId="130A2178" w14:textId="77777777" w:rsidR="008E4322" w:rsidRDefault="008E4322" w:rsidP="008E4322">
      <w:r>
        <w:t> </w:t>
      </w:r>
    </w:p>
    <w:p w14:paraId="06B2A495" w14:textId="77777777" w:rsidR="008E4322" w:rsidRDefault="008E4322" w:rsidP="008E4322">
      <w:r>
        <w:rPr>
          <w:rFonts w:ascii="Calibri" w:hAnsi="Calibri"/>
          <w:b/>
          <w:bCs/>
        </w:rPr>
        <w:t>3.           Schedule:</w:t>
      </w:r>
    </w:p>
    <w:p w14:paraId="0E608D26" w14:textId="77777777" w:rsidR="008E4322" w:rsidRDefault="008E4322" w:rsidP="008E4322">
      <w:r>
        <w:rPr>
          <w:rFonts w:ascii="Calibri" w:hAnsi="Calibri"/>
        </w:rPr>
        <w:t> </w:t>
      </w:r>
    </w:p>
    <w:tbl>
      <w:tblPr>
        <w:tblW w:w="7920" w:type="dxa"/>
        <w:tblInd w:w="85" w:type="dxa"/>
        <w:tblCellMar>
          <w:left w:w="0" w:type="dxa"/>
          <w:right w:w="0" w:type="dxa"/>
        </w:tblCellMar>
        <w:tblLook w:val="04A0" w:firstRow="1" w:lastRow="0" w:firstColumn="1" w:lastColumn="0" w:noHBand="0" w:noVBand="1"/>
      </w:tblPr>
      <w:tblGrid>
        <w:gridCol w:w="4662"/>
        <w:gridCol w:w="3258"/>
      </w:tblGrid>
      <w:tr w:rsidR="008E4322" w14:paraId="1FD9E67F" w14:textId="77777777" w:rsidTr="008E4322">
        <w:tc>
          <w:tcPr>
            <w:tcW w:w="46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393F1" w14:textId="77777777" w:rsidR="008E4322" w:rsidRDefault="008E4322">
            <w:r>
              <w:rPr>
                <w:rFonts w:ascii="Calibri" w:hAnsi="Calibri"/>
              </w:rPr>
              <w:lastRenderedPageBreak/>
              <w:t>RFP Release Date:</w:t>
            </w:r>
          </w:p>
        </w:tc>
        <w:tc>
          <w:tcPr>
            <w:tcW w:w="32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1F53AC" w14:textId="77777777" w:rsidR="008E4322" w:rsidRDefault="008E4322">
            <w:r>
              <w:rPr>
                <w:rFonts w:ascii="Calibri" w:hAnsi="Calibri"/>
                <w:b/>
                <w:bCs/>
              </w:rPr>
              <w:t>January 16, 2026</w:t>
            </w:r>
          </w:p>
        </w:tc>
      </w:tr>
      <w:tr w:rsidR="008E4322" w14:paraId="10D8B677" w14:textId="77777777" w:rsidTr="008E4322">
        <w:tc>
          <w:tcPr>
            <w:tcW w:w="46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6C571A" w14:textId="77777777" w:rsidR="008E4322" w:rsidRDefault="008E4322">
            <w:r>
              <w:rPr>
                <w:rFonts w:ascii="Calibri" w:hAnsi="Calibri"/>
              </w:rPr>
              <w:t>Questions Due</w:t>
            </w:r>
          </w:p>
        </w:tc>
        <w:tc>
          <w:tcPr>
            <w:tcW w:w="3258" w:type="dxa"/>
            <w:tcBorders>
              <w:top w:val="nil"/>
              <w:left w:val="nil"/>
              <w:bottom w:val="single" w:sz="8" w:space="0" w:color="auto"/>
              <w:right w:val="single" w:sz="8" w:space="0" w:color="auto"/>
            </w:tcBorders>
            <w:tcMar>
              <w:top w:w="0" w:type="dxa"/>
              <w:left w:w="108" w:type="dxa"/>
              <w:bottom w:w="0" w:type="dxa"/>
              <w:right w:w="108" w:type="dxa"/>
            </w:tcMar>
            <w:hideMark/>
          </w:tcPr>
          <w:p w14:paraId="2856466E" w14:textId="77777777" w:rsidR="008E4322" w:rsidRDefault="008E4322">
            <w:r>
              <w:rPr>
                <w:rFonts w:ascii="Calibri" w:hAnsi="Calibri"/>
                <w:b/>
                <w:bCs/>
              </w:rPr>
              <w:t>January 23, 2026</w:t>
            </w:r>
          </w:p>
        </w:tc>
      </w:tr>
      <w:tr w:rsidR="008E4322" w14:paraId="36487283" w14:textId="77777777" w:rsidTr="008E4322">
        <w:tc>
          <w:tcPr>
            <w:tcW w:w="46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CB82A" w14:textId="77777777" w:rsidR="008E4322" w:rsidRDefault="008E4322">
            <w:r>
              <w:rPr>
                <w:rFonts w:ascii="Calibri" w:hAnsi="Calibri"/>
              </w:rPr>
              <w:t>Questions Answered</w:t>
            </w:r>
          </w:p>
        </w:tc>
        <w:tc>
          <w:tcPr>
            <w:tcW w:w="3258" w:type="dxa"/>
            <w:tcBorders>
              <w:top w:val="nil"/>
              <w:left w:val="nil"/>
              <w:bottom w:val="single" w:sz="8" w:space="0" w:color="auto"/>
              <w:right w:val="single" w:sz="8" w:space="0" w:color="auto"/>
            </w:tcBorders>
            <w:tcMar>
              <w:top w:w="0" w:type="dxa"/>
              <w:left w:w="108" w:type="dxa"/>
              <w:bottom w:w="0" w:type="dxa"/>
              <w:right w:w="108" w:type="dxa"/>
            </w:tcMar>
            <w:hideMark/>
          </w:tcPr>
          <w:p w14:paraId="0292014C" w14:textId="77777777" w:rsidR="008E4322" w:rsidRDefault="008E4322">
            <w:r>
              <w:rPr>
                <w:rFonts w:ascii="Calibri" w:hAnsi="Calibri"/>
                <w:b/>
                <w:bCs/>
              </w:rPr>
              <w:t>January 27, 2026</w:t>
            </w:r>
          </w:p>
        </w:tc>
      </w:tr>
      <w:tr w:rsidR="008E4322" w14:paraId="749A9411" w14:textId="77777777" w:rsidTr="008E4322">
        <w:tc>
          <w:tcPr>
            <w:tcW w:w="46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DE463" w14:textId="77777777" w:rsidR="008E4322" w:rsidRDefault="008E4322">
            <w:r>
              <w:rPr>
                <w:rFonts w:ascii="Calibri" w:hAnsi="Calibri"/>
              </w:rPr>
              <w:t>Proposal Due Date:</w:t>
            </w:r>
          </w:p>
        </w:tc>
        <w:tc>
          <w:tcPr>
            <w:tcW w:w="3258" w:type="dxa"/>
            <w:tcBorders>
              <w:top w:val="nil"/>
              <w:left w:val="nil"/>
              <w:bottom w:val="single" w:sz="8" w:space="0" w:color="auto"/>
              <w:right w:val="single" w:sz="8" w:space="0" w:color="auto"/>
            </w:tcBorders>
            <w:tcMar>
              <w:top w:w="0" w:type="dxa"/>
              <w:left w:w="108" w:type="dxa"/>
              <w:bottom w:w="0" w:type="dxa"/>
              <w:right w:w="108" w:type="dxa"/>
            </w:tcMar>
            <w:hideMark/>
          </w:tcPr>
          <w:p w14:paraId="710F5772" w14:textId="77777777" w:rsidR="008E4322" w:rsidRDefault="008E4322">
            <w:r>
              <w:rPr>
                <w:rFonts w:ascii="Calibri" w:hAnsi="Calibri"/>
                <w:b/>
                <w:bCs/>
              </w:rPr>
              <w:t>February 6, 2026</w:t>
            </w:r>
          </w:p>
        </w:tc>
      </w:tr>
      <w:tr w:rsidR="008E4322" w14:paraId="08D7A14E" w14:textId="77777777" w:rsidTr="008E4322">
        <w:tc>
          <w:tcPr>
            <w:tcW w:w="46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F4057" w14:textId="77777777" w:rsidR="008E4322" w:rsidRDefault="008E4322">
            <w:r>
              <w:rPr>
                <w:rFonts w:ascii="Calibri" w:hAnsi="Calibri"/>
              </w:rPr>
              <w:t>Evaluation/Review Period:</w:t>
            </w:r>
          </w:p>
        </w:tc>
        <w:tc>
          <w:tcPr>
            <w:tcW w:w="3258" w:type="dxa"/>
            <w:tcBorders>
              <w:top w:val="nil"/>
              <w:left w:val="nil"/>
              <w:bottom w:val="single" w:sz="8" w:space="0" w:color="auto"/>
              <w:right w:val="single" w:sz="8" w:space="0" w:color="auto"/>
            </w:tcBorders>
            <w:tcMar>
              <w:top w:w="0" w:type="dxa"/>
              <w:left w:w="108" w:type="dxa"/>
              <w:bottom w:w="0" w:type="dxa"/>
              <w:right w:w="108" w:type="dxa"/>
            </w:tcMar>
            <w:hideMark/>
          </w:tcPr>
          <w:p w14:paraId="54C446A9" w14:textId="77777777" w:rsidR="008E4322" w:rsidRDefault="008E4322">
            <w:r>
              <w:rPr>
                <w:rFonts w:ascii="Calibri" w:hAnsi="Calibri"/>
                <w:b/>
                <w:bCs/>
              </w:rPr>
              <w:t>February 9-13, 2026</w:t>
            </w:r>
          </w:p>
        </w:tc>
      </w:tr>
    </w:tbl>
    <w:p w14:paraId="5353F3FE" w14:textId="77777777" w:rsidR="008E4322" w:rsidRDefault="008E4322" w:rsidP="008E4322">
      <w:pPr>
        <w:rPr>
          <w:rFonts w:cs="Calibri"/>
          <w:sz w:val="20"/>
          <w:szCs w:val="20"/>
        </w:rPr>
      </w:pPr>
      <w:r>
        <w:t> </w:t>
      </w:r>
    </w:p>
    <w:p w14:paraId="56C43C20" w14:textId="77777777" w:rsidR="008E4322" w:rsidRDefault="008E4322" w:rsidP="008E4322">
      <w:r>
        <w:rPr>
          <w:b/>
          <w:bCs/>
        </w:rPr>
        <w:t>4.           Evaluation Factors:  Proposals will be evaluated in accordance with the following:</w:t>
      </w:r>
    </w:p>
    <w:p w14:paraId="41438432" w14:textId="77777777" w:rsidR="008E4322" w:rsidRDefault="008E4322" w:rsidP="008E4322">
      <w:r>
        <w:t> </w:t>
      </w:r>
    </w:p>
    <w:tbl>
      <w:tblPr>
        <w:tblW w:w="0" w:type="auto"/>
        <w:tblCellMar>
          <w:left w:w="0" w:type="dxa"/>
          <w:right w:w="0" w:type="dxa"/>
        </w:tblCellMar>
        <w:tblLook w:val="04A0" w:firstRow="1" w:lastRow="0" w:firstColumn="1" w:lastColumn="0" w:noHBand="0" w:noVBand="1"/>
      </w:tblPr>
      <w:tblGrid>
        <w:gridCol w:w="2154"/>
        <w:gridCol w:w="7186"/>
      </w:tblGrid>
      <w:tr w:rsidR="008E4322" w14:paraId="0A19E6FA" w14:textId="77777777" w:rsidTr="008E4322">
        <w:tc>
          <w:tcPr>
            <w:tcW w:w="935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335392" w14:textId="77777777" w:rsidR="008E4322" w:rsidRDefault="008E4322">
            <w:pPr>
              <w:spacing w:line="252" w:lineRule="auto"/>
              <w:jc w:val="center"/>
            </w:pPr>
            <w:r>
              <w:rPr>
                <w:rFonts w:ascii="Calibri" w:hAnsi="Calibri"/>
                <w:b/>
                <w:bCs/>
              </w:rPr>
              <w:t>CRITERIA</w:t>
            </w:r>
          </w:p>
        </w:tc>
      </w:tr>
      <w:tr w:rsidR="008E4322" w14:paraId="59DEBAC8" w14:textId="77777777" w:rsidTr="008E4322">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BEBD9E" w14:textId="77777777" w:rsidR="008E4322" w:rsidRDefault="008E4322">
            <w:pPr>
              <w:spacing w:line="252" w:lineRule="auto"/>
            </w:pPr>
            <w:r>
              <w:rPr>
                <w:rFonts w:ascii="Calibri" w:hAnsi="Calibri"/>
                <w:b/>
                <w:bCs/>
              </w:rPr>
              <w:t>Technical Approach</w:t>
            </w:r>
          </w:p>
        </w:tc>
        <w:tc>
          <w:tcPr>
            <w:tcW w:w="7195" w:type="dxa"/>
            <w:tcBorders>
              <w:top w:val="nil"/>
              <w:left w:val="nil"/>
              <w:bottom w:val="single" w:sz="8" w:space="0" w:color="auto"/>
              <w:right w:val="single" w:sz="8" w:space="0" w:color="auto"/>
            </w:tcBorders>
            <w:tcMar>
              <w:top w:w="0" w:type="dxa"/>
              <w:left w:w="108" w:type="dxa"/>
              <w:bottom w:w="0" w:type="dxa"/>
              <w:right w:w="108" w:type="dxa"/>
            </w:tcMar>
            <w:hideMark/>
          </w:tcPr>
          <w:p w14:paraId="167D241A" w14:textId="77777777" w:rsidR="008E4322" w:rsidRDefault="008E4322">
            <w:pPr>
              <w:spacing w:line="252" w:lineRule="auto"/>
            </w:pPr>
            <w:r>
              <w:rPr>
                <w:rFonts w:ascii="Calibri" w:hAnsi="Calibri"/>
                <w:color w:val="000000"/>
              </w:rPr>
              <w:t>Technical Approach (The Technical Evaluation Team shall evaluate the offeror’s technical approach to meeting the requirements outlined in the statement of work (SOW).  As applicable, contractor must be able to comply with the required or proposed delivery or performance schedule and other requirements as identified in the SOW (such as distance or accreditation).  Proposals that fail to demonstrate a clear understanding of the requirements in the SOW may not be considered further.</w:t>
            </w:r>
          </w:p>
        </w:tc>
      </w:tr>
      <w:tr w:rsidR="008E4322" w14:paraId="0748F1BA" w14:textId="77777777" w:rsidTr="008E4322">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0737B" w14:textId="77777777" w:rsidR="008E4322" w:rsidRDefault="008E4322">
            <w:pPr>
              <w:spacing w:line="252" w:lineRule="auto"/>
            </w:pPr>
            <w:r>
              <w:rPr>
                <w:rFonts w:ascii="Calibri" w:hAnsi="Calibri"/>
                <w:b/>
                <w:bCs/>
              </w:rPr>
              <w:t>Past Performance</w:t>
            </w:r>
          </w:p>
        </w:tc>
        <w:tc>
          <w:tcPr>
            <w:tcW w:w="7195" w:type="dxa"/>
            <w:tcBorders>
              <w:top w:val="nil"/>
              <w:left w:val="nil"/>
              <w:bottom w:val="single" w:sz="8" w:space="0" w:color="auto"/>
              <w:right w:val="single" w:sz="8" w:space="0" w:color="auto"/>
            </w:tcBorders>
            <w:tcMar>
              <w:top w:w="0" w:type="dxa"/>
              <w:left w:w="108" w:type="dxa"/>
              <w:bottom w:w="0" w:type="dxa"/>
              <w:right w:w="108" w:type="dxa"/>
            </w:tcMar>
            <w:hideMark/>
          </w:tcPr>
          <w:p w14:paraId="1C4B13F2" w14:textId="77777777" w:rsidR="008E4322" w:rsidRDefault="008E4322">
            <w:pPr>
              <w:spacing w:line="252" w:lineRule="auto"/>
            </w:pPr>
            <w:r>
              <w:rPr>
                <w:rFonts w:ascii="Calibri" w:hAnsi="Calibri"/>
                <w:color w:val="000000"/>
              </w:rPr>
              <w:t xml:space="preserve">Past Performance (The Technical Evaluation Team shall evaluate the offeror’s present and past performance on similar contracts for supplies/services. Offerors must provide a minimum of two (2) customer references for similar work performed receive max points.  The following should be provided for each listed reference:  </w:t>
            </w:r>
            <w:r>
              <w:rPr>
                <w:rFonts w:ascii="Calibri" w:hAnsi="Calibri"/>
                <w:color w:val="000000"/>
              </w:rPr>
              <w:br/>
              <w:t>a. Name of Client and address</w:t>
            </w:r>
            <w:r>
              <w:rPr>
                <w:rFonts w:ascii="Calibri" w:hAnsi="Calibri"/>
                <w:color w:val="000000"/>
              </w:rPr>
              <w:br/>
              <w:t xml:space="preserve">b. Name of current point of contact including telephone number, email address, and title                 </w:t>
            </w:r>
            <w:r>
              <w:rPr>
                <w:rFonts w:ascii="Calibri" w:hAnsi="Calibri"/>
                <w:color w:val="000000"/>
              </w:rPr>
              <w:br/>
              <w:t>c. Contract number</w:t>
            </w:r>
            <w:r>
              <w:rPr>
                <w:rFonts w:ascii="Calibri" w:hAnsi="Calibri"/>
                <w:color w:val="000000"/>
              </w:rPr>
              <w:br/>
              <w:t>d. Contract value</w:t>
            </w:r>
            <w:r>
              <w:rPr>
                <w:rFonts w:ascii="Calibri" w:hAnsi="Calibri"/>
                <w:color w:val="000000"/>
              </w:rPr>
              <w:br/>
              <w:t>e. Contract period of performance</w:t>
            </w:r>
            <w:r>
              <w:rPr>
                <w:rFonts w:ascii="Calibri" w:hAnsi="Calibri"/>
                <w:color w:val="000000"/>
              </w:rPr>
              <w:br/>
              <w:t>f. Clear description of the supplies/services provided,</w:t>
            </w:r>
            <w:r>
              <w:rPr>
                <w:rFonts w:ascii="Calibri" w:hAnsi="Calibri"/>
                <w:color w:val="000000"/>
              </w:rPr>
              <w:br/>
              <w:t xml:space="preserve">Offerors are also required to a narrative in their technical proposal detailing their corporate experience of similar work performed.  </w:t>
            </w:r>
          </w:p>
        </w:tc>
      </w:tr>
      <w:tr w:rsidR="008E4322" w14:paraId="37AC87DE" w14:textId="77777777" w:rsidTr="008E4322">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E12A3" w14:textId="77777777" w:rsidR="008E4322" w:rsidRDefault="008E4322">
            <w:pPr>
              <w:spacing w:line="252" w:lineRule="auto"/>
            </w:pPr>
            <w:r>
              <w:rPr>
                <w:rFonts w:ascii="Calibri" w:hAnsi="Calibri"/>
                <w:b/>
                <w:bCs/>
              </w:rPr>
              <w:t>Price</w:t>
            </w:r>
          </w:p>
        </w:tc>
        <w:tc>
          <w:tcPr>
            <w:tcW w:w="7195" w:type="dxa"/>
            <w:tcBorders>
              <w:top w:val="nil"/>
              <w:left w:val="nil"/>
              <w:bottom w:val="single" w:sz="8" w:space="0" w:color="auto"/>
              <w:right w:val="single" w:sz="8" w:space="0" w:color="auto"/>
            </w:tcBorders>
            <w:tcMar>
              <w:top w:w="0" w:type="dxa"/>
              <w:left w:w="108" w:type="dxa"/>
              <w:bottom w:w="0" w:type="dxa"/>
              <w:right w:w="108" w:type="dxa"/>
            </w:tcMar>
            <w:hideMark/>
          </w:tcPr>
          <w:p w14:paraId="5DCDB52E" w14:textId="77777777" w:rsidR="008E4322" w:rsidRDefault="008E4322">
            <w:pPr>
              <w:spacing w:line="252" w:lineRule="auto"/>
            </w:pPr>
            <w:r>
              <w:rPr>
                <w:rFonts w:ascii="Calibri" w:hAnsi="Calibri"/>
                <w:color w:val="000000"/>
              </w:rPr>
              <w:t>Price (Successful offeror will be the responsible firm whose proposal is most advantageous to the program, with price and above factors considered.)</w:t>
            </w:r>
          </w:p>
        </w:tc>
      </w:tr>
    </w:tbl>
    <w:p w14:paraId="70E52789" w14:textId="77777777" w:rsidR="008E4322" w:rsidRDefault="008E4322" w:rsidP="008E4322">
      <w:pPr>
        <w:rPr>
          <w:rFonts w:cs="Calibri"/>
          <w:sz w:val="20"/>
          <w:szCs w:val="20"/>
        </w:rPr>
      </w:pPr>
      <w:r>
        <w:t> </w:t>
      </w:r>
    </w:p>
    <w:p w14:paraId="222AB572" w14:textId="77777777" w:rsidR="008E4322" w:rsidRDefault="008E4322" w:rsidP="008E4322">
      <w:r>
        <w:t xml:space="preserve">See Attachment 2 – Proposal Instructions </w:t>
      </w:r>
    </w:p>
    <w:p w14:paraId="5B7FA7DC" w14:textId="77777777" w:rsidR="008E4322" w:rsidRDefault="008E4322" w:rsidP="008E4322">
      <w:r>
        <w:t> </w:t>
      </w:r>
    </w:p>
    <w:p w14:paraId="4B578DC5" w14:textId="77777777" w:rsidR="008E4322" w:rsidRDefault="008E4322" w:rsidP="008E4322">
      <w:r>
        <w:rPr>
          <w:b/>
          <w:bCs/>
        </w:rPr>
        <w:t xml:space="preserve">5.           Terms and Conditions: </w:t>
      </w:r>
    </w:p>
    <w:p w14:paraId="78E69927" w14:textId="77777777" w:rsidR="008E4322" w:rsidRDefault="008E4322" w:rsidP="008E4322">
      <w:r>
        <w:t> </w:t>
      </w:r>
    </w:p>
    <w:p w14:paraId="418E5E29" w14:textId="77777777" w:rsidR="008E4322" w:rsidRDefault="008E4322" w:rsidP="008E4322">
      <w:r>
        <w:t>It is anticipated that the successful offeror of each RFP will:</w:t>
      </w:r>
    </w:p>
    <w:p w14:paraId="0DBF2171" w14:textId="77777777" w:rsidR="008E4322" w:rsidRDefault="008E4322" w:rsidP="008E4322">
      <w:r>
        <w:t xml:space="preserve">•            Accept the terms and conditions of and execute the attached Vendor Contract (Attachment 3) and </w:t>
      </w:r>
    </w:p>
    <w:p w14:paraId="787297A8" w14:textId="77777777" w:rsidR="008E4322" w:rsidRDefault="008E4322" w:rsidP="008E4322">
      <w:r>
        <w:t>•            Successfully complete the RFP process and registration in HJF’s eProcurement and Supplier Management platform (</w:t>
      </w:r>
      <w:proofErr w:type="spellStart"/>
      <w:r>
        <w:t>Synertrade</w:t>
      </w:r>
      <w:proofErr w:type="spellEnd"/>
      <w:r>
        <w:t xml:space="preserve">). </w:t>
      </w:r>
    </w:p>
    <w:p w14:paraId="5F30FD4B" w14:textId="77777777" w:rsidR="008E4322" w:rsidRDefault="008E4322" w:rsidP="008E4322">
      <w:r>
        <w:t> </w:t>
      </w:r>
    </w:p>
    <w:p w14:paraId="75720A6C" w14:textId="77777777" w:rsidR="008E4322" w:rsidRDefault="008E4322" w:rsidP="008E4322">
      <w:r>
        <w:t>Responses should be sent to:</w:t>
      </w:r>
    </w:p>
    <w:p w14:paraId="3306CBD1" w14:textId="77777777" w:rsidR="008E4322" w:rsidRDefault="008E4322" w:rsidP="008E4322">
      <w:r>
        <w:t> </w:t>
      </w:r>
    </w:p>
    <w:p w14:paraId="26C5F110" w14:textId="77777777" w:rsidR="008E4322" w:rsidRDefault="008E4322" w:rsidP="008E4322">
      <w:r>
        <w:t>Jason Smith                         </w:t>
      </w:r>
      <w:hyperlink r:id="rId7" w:history="1">
        <w:r>
          <w:rPr>
            <w:rStyle w:val="Hyperlink"/>
          </w:rPr>
          <w:t>jsmith@hjf.org</w:t>
        </w:r>
      </w:hyperlink>
      <w:r>
        <w:t xml:space="preserve"> </w:t>
      </w:r>
    </w:p>
    <w:p w14:paraId="12BDA804" w14:textId="77777777" w:rsidR="008E4322" w:rsidRDefault="008E4322" w:rsidP="008E4322">
      <w:r>
        <w:lastRenderedPageBreak/>
        <w:t xml:space="preserve">Cheryl Zimmerman         </w:t>
      </w:r>
      <w:hyperlink r:id="rId8" w:history="1">
        <w:r>
          <w:rPr>
            <w:rStyle w:val="Hyperlink"/>
          </w:rPr>
          <w:t>czimmerman@hjf.org</w:t>
        </w:r>
      </w:hyperlink>
      <w:r>
        <w:t xml:space="preserve"> </w:t>
      </w:r>
    </w:p>
    <w:p w14:paraId="56991C88" w14:textId="77777777" w:rsidR="00326149" w:rsidRDefault="00326149"/>
    <w:sectPr w:rsidR="003261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22F0C"/>
    <w:multiLevelType w:val="hybridMultilevel"/>
    <w:tmpl w:val="4EB83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CE06162"/>
    <w:multiLevelType w:val="hybridMultilevel"/>
    <w:tmpl w:val="E0604F4E"/>
    <w:lvl w:ilvl="0" w:tplc="0409000F">
      <w:start w:val="1"/>
      <w:numFmt w:val="decimal"/>
      <w:lvlText w:val="%1."/>
      <w:lvlJc w:val="left"/>
      <w:pPr>
        <w:ind w:left="720" w:hanging="360"/>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4D91B9A"/>
    <w:multiLevelType w:val="hybridMultilevel"/>
    <w:tmpl w:val="2E4A1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41766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5771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4437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3A"/>
    <w:rsid w:val="002D103A"/>
    <w:rsid w:val="00326149"/>
    <w:rsid w:val="003B0E63"/>
    <w:rsid w:val="00854C2D"/>
    <w:rsid w:val="008E4322"/>
    <w:rsid w:val="00E8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E3B0D"/>
  <w15:chartTrackingRefBased/>
  <w15:docId w15:val="{C69A5B2C-6D9C-4A7B-B44C-AAB311E0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03A"/>
    <w:pPr>
      <w:spacing w:after="0" w:line="240" w:lineRule="auto"/>
    </w:pPr>
    <w:rPr>
      <w:rFonts w:ascii="Aptos" w:hAnsi="Aptos" w:cs="Aptos"/>
      <w:kern w:val="0"/>
    </w:rPr>
  </w:style>
  <w:style w:type="paragraph" w:styleId="Heading1">
    <w:name w:val="heading 1"/>
    <w:basedOn w:val="Normal"/>
    <w:next w:val="Normal"/>
    <w:link w:val="Heading1Char"/>
    <w:uiPriority w:val="9"/>
    <w:qFormat/>
    <w:rsid w:val="002D1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0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0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0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0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03A"/>
    <w:rPr>
      <w:rFonts w:eastAsiaTheme="majorEastAsia" w:cstheme="majorBidi"/>
      <w:color w:val="272727" w:themeColor="text1" w:themeTint="D8"/>
    </w:rPr>
  </w:style>
  <w:style w:type="paragraph" w:styleId="Title">
    <w:name w:val="Title"/>
    <w:basedOn w:val="Normal"/>
    <w:next w:val="Normal"/>
    <w:link w:val="TitleChar"/>
    <w:uiPriority w:val="10"/>
    <w:qFormat/>
    <w:rsid w:val="002D10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03A"/>
    <w:pPr>
      <w:spacing w:before="160"/>
      <w:jc w:val="center"/>
    </w:pPr>
    <w:rPr>
      <w:i/>
      <w:iCs/>
      <w:color w:val="404040" w:themeColor="text1" w:themeTint="BF"/>
    </w:rPr>
  </w:style>
  <w:style w:type="character" w:customStyle="1" w:styleId="QuoteChar">
    <w:name w:val="Quote Char"/>
    <w:basedOn w:val="DefaultParagraphFont"/>
    <w:link w:val="Quote"/>
    <w:uiPriority w:val="29"/>
    <w:rsid w:val="002D103A"/>
    <w:rPr>
      <w:i/>
      <w:iCs/>
      <w:color w:val="404040" w:themeColor="text1" w:themeTint="BF"/>
    </w:rPr>
  </w:style>
  <w:style w:type="paragraph" w:styleId="ListParagraph">
    <w:name w:val="List Paragraph"/>
    <w:basedOn w:val="Normal"/>
    <w:uiPriority w:val="34"/>
    <w:qFormat/>
    <w:rsid w:val="002D103A"/>
    <w:pPr>
      <w:ind w:left="720"/>
      <w:contextualSpacing/>
    </w:pPr>
  </w:style>
  <w:style w:type="character" w:styleId="IntenseEmphasis">
    <w:name w:val="Intense Emphasis"/>
    <w:basedOn w:val="DefaultParagraphFont"/>
    <w:uiPriority w:val="21"/>
    <w:qFormat/>
    <w:rsid w:val="002D103A"/>
    <w:rPr>
      <w:i/>
      <w:iCs/>
      <w:color w:val="0F4761" w:themeColor="accent1" w:themeShade="BF"/>
    </w:rPr>
  </w:style>
  <w:style w:type="paragraph" w:styleId="IntenseQuote">
    <w:name w:val="Intense Quote"/>
    <w:basedOn w:val="Normal"/>
    <w:next w:val="Normal"/>
    <w:link w:val="IntenseQuoteChar"/>
    <w:uiPriority w:val="30"/>
    <w:qFormat/>
    <w:rsid w:val="002D1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03A"/>
    <w:rPr>
      <w:i/>
      <w:iCs/>
      <w:color w:val="0F4761" w:themeColor="accent1" w:themeShade="BF"/>
    </w:rPr>
  </w:style>
  <w:style w:type="character" w:styleId="IntenseReference">
    <w:name w:val="Intense Reference"/>
    <w:basedOn w:val="DefaultParagraphFont"/>
    <w:uiPriority w:val="32"/>
    <w:qFormat/>
    <w:rsid w:val="002D103A"/>
    <w:rPr>
      <w:b/>
      <w:bCs/>
      <w:smallCaps/>
      <w:color w:val="0F4761" w:themeColor="accent1" w:themeShade="BF"/>
      <w:spacing w:val="5"/>
    </w:rPr>
  </w:style>
  <w:style w:type="character" w:styleId="Hyperlink">
    <w:name w:val="Hyperlink"/>
    <w:basedOn w:val="DefaultParagraphFont"/>
    <w:uiPriority w:val="99"/>
    <w:semiHidden/>
    <w:unhideWhenUsed/>
    <w:rsid w:val="002D103A"/>
    <w:rPr>
      <w:color w:val="467886"/>
      <w:u w:val="single"/>
    </w:rPr>
  </w:style>
  <w:style w:type="paragraph" w:styleId="NormalWeb">
    <w:name w:val="Normal (Web)"/>
    <w:basedOn w:val="Normal"/>
    <w:uiPriority w:val="99"/>
    <w:semiHidden/>
    <w:unhideWhenUsed/>
    <w:rsid w:val="002D103A"/>
    <w:pPr>
      <w:spacing w:before="100" w:beforeAutospacing="1" w:after="100" w:afterAutospacing="1"/>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28619">
      <w:bodyDiv w:val="1"/>
      <w:marLeft w:val="0"/>
      <w:marRight w:val="0"/>
      <w:marTop w:val="0"/>
      <w:marBottom w:val="0"/>
      <w:divBdr>
        <w:top w:val="none" w:sz="0" w:space="0" w:color="auto"/>
        <w:left w:val="none" w:sz="0" w:space="0" w:color="auto"/>
        <w:bottom w:val="none" w:sz="0" w:space="0" w:color="auto"/>
        <w:right w:val="none" w:sz="0" w:space="0" w:color="auto"/>
      </w:divBdr>
    </w:div>
    <w:div w:id="20071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immerman@hjf.org" TargetMode="External"/><Relationship Id="rId3" Type="http://schemas.openxmlformats.org/officeDocument/2006/relationships/settings" Target="settings.xml"/><Relationship Id="rId7" Type="http://schemas.openxmlformats.org/officeDocument/2006/relationships/hyperlink" Target="mailto:jsmith@hj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jf.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791</Words>
  <Characters>4509</Characters>
  <Application>Microsoft Office Word</Application>
  <DocSecurity>0</DocSecurity>
  <Lines>37</Lines>
  <Paragraphs>10</Paragraphs>
  <ScaleCrop>false</ScaleCrop>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Smith</dc:creator>
  <cp:keywords/>
  <dc:description/>
  <cp:lastModifiedBy>Marci Howes</cp:lastModifiedBy>
  <cp:revision>2</cp:revision>
  <dcterms:created xsi:type="dcterms:W3CDTF">2026-01-16T18:39:00Z</dcterms:created>
  <dcterms:modified xsi:type="dcterms:W3CDTF">2026-01-16T18:39:00Z</dcterms:modified>
</cp:coreProperties>
</file>